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404040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404040"/>
          <w:kern w:val="36"/>
          <w:sz w:val="44"/>
          <w:szCs w:val="44"/>
          <w:lang w:eastAsia="zh-CN"/>
        </w:rPr>
        <w:t>安康市红十字会捐赠管理制度</w:t>
      </w:r>
    </w:p>
    <w:p>
      <w:pPr>
        <w:widowControl/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</w:rPr>
      </w:pPr>
    </w:p>
    <w:p>
      <w:pPr>
        <w:widowControl/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</w:rPr>
        <w:t>为规范募捐和接受捐赠工作，依照《中华人民共和国红十字会法》、《中华人民共和国慈善法》、《中华人民共和国公益事业捐赠法》以及《</w:t>
      </w:r>
      <w:r>
        <w:rPr>
          <w:rFonts w:hint="eastAsia" w:ascii="仿宋_GB2312" w:hAnsi="仿宋_GB2312" w:eastAsia="仿宋_GB2312" w:cs="仿宋_GB2312"/>
          <w:b w:val="0"/>
          <w:bCs w:val="0"/>
          <w:color w:val="404040"/>
          <w:kern w:val="36"/>
          <w:sz w:val="32"/>
          <w:szCs w:val="32"/>
        </w:rPr>
        <w:t>中国红十字会捐赠工作管理办法</w:t>
      </w:r>
      <w:r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</w:rPr>
        <w:t>》等法律和文件精神，制定本</w:t>
      </w:r>
      <w:r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40404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开展募捐和接受捐赠工作，依法接受同级民政部门的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监督。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开展募捐和接受捐赠工作，应当严格遵守《中华人民共和国红十字会法》和《中华人民共和国红十字标志使用办法》等法律法规关于红十字标志和名称使用的规定，不得违背国际红十字运动基本原则，不得损害红十字会名誉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接受捐赠应开设银行专户，建立专账进行管理。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 红十字会接受的捐赠财产应当是捐赠人有权处分的合法财产。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红十字会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可与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捐赠人签订捐赠协议，或请捐赠人出具捐赠函，约定捐赠财产的种类、数量、用途、交付时间等内容。捐赠人不得指定其利害关系人作为受益人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红十字会接受捐赠后，应及时向捐赠人出具财政部门统一监（印）制的捐赠票据。捐赠人匿名或放弃捐赠票据的，应当做好相关记录。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红十字会应当按照募捐方案、捐赠协议或捐赠人意愿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接受的捐赠财产。如确需改变用途的，应当征得捐赠人的书面同意。对于没有具体捐赠意向的捐赠财产，红十字会可以按照其宗旨和人道需求统筹安排使用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红十字会使用捐赠财产开展人道救助，应采取适当方式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及时向捐赠人反馈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受助人资助标准、资助流程等相关信息。</w:t>
      </w:r>
    </w:p>
    <w:p>
      <w:pPr>
        <w:widowControl/>
        <w:numPr>
          <w:ilvl w:val="0"/>
          <w:numId w:val="1"/>
        </w:numPr>
        <w:spacing w:line="530" w:lineRule="atLeast"/>
        <w:ind w:firstLine="475"/>
        <w:jc w:val="left"/>
        <w:outlineLvl w:val="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捐赠财产的收支管理情况，应接受审计机构的审计和民政部门的监督，并向红十字会理事会、监事会报告。</w:t>
      </w:r>
    </w:p>
    <w:p>
      <w:pPr>
        <w:widowControl/>
        <w:shd w:val="clear" w:color="auto" w:fill="FFFFFF"/>
        <w:spacing w:before="240" w:after="115" w:line="369" w:lineRule="atLeast"/>
        <w:ind w:firstLine="480"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第十条  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各级红十字会应规范信息发布，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在网站或者微信公众号上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及时向社会公布捐赠款物的收入和使用情况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经审计的捐赠收支情况报告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接受社会监督。</w:t>
      </w:r>
    </w:p>
    <w:p>
      <w:pPr>
        <w:widowControl/>
        <w:shd w:val="clear" w:color="auto" w:fill="FFFFFF"/>
        <w:spacing w:before="240" w:after="115" w:line="369" w:lineRule="atLeast"/>
        <w:ind w:firstLine="480"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条  捐赠人通过县级以上红十字会向红十字事业的捐赠，依法享受相应的税收优惠政策。</w:t>
      </w:r>
    </w:p>
    <w:p>
      <w:pPr>
        <w:widowControl/>
        <w:shd w:val="clear" w:color="auto" w:fill="FFFFFF"/>
        <w:spacing w:before="240" w:after="115" w:line="369" w:lineRule="atLeast"/>
        <w:ind w:firstLine="480"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4766553">
    <w:nsid w:val="650415D9"/>
    <w:multiLevelType w:val="singleLevel"/>
    <w:tmpl w:val="650415D9"/>
    <w:lvl w:ilvl="0" w:tentative="1">
      <w:start w:val="1"/>
      <w:numFmt w:val="chineseCounting"/>
      <w:suff w:val="space"/>
      <w:lvlText w:val="第%1条"/>
      <w:lvlJc w:val="left"/>
    </w:lvl>
  </w:abstractNum>
  <w:num w:numId="1">
    <w:abstractNumId w:val="16947665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CE8"/>
    <w:rsid w:val="001C5CE8"/>
    <w:rsid w:val="009B3874"/>
    <w:rsid w:val="67766D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u-tim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498</Words>
  <Characters>2840</Characters>
  <Lines>23</Lines>
  <Paragraphs>6</Paragraphs>
  <ScaleCrop>false</ScaleCrop>
  <LinksUpToDate>false</LinksUpToDate>
  <CharactersWithSpaces>3332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2020-03-27T02:52:00Z</dcterms:created>
  <dc:creator>lenovo</dc:creator>
  <cp:lastModifiedBy>Administrator</cp:lastModifiedBy>
  <dcterms:modified xsi:type="dcterms:W3CDTF">2023-09-15T08:46:01Z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